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A603D">
      <w:pPr>
        <w:pStyle w:val="PreformattatoHTML"/>
      </w:pPr>
      <w:bookmarkStart w:id="0" w:name="_GoBack"/>
      <w:bookmarkEnd w:id="0"/>
      <w:r>
        <w:rPr>
          <w:rFonts w:ascii="Times New Roman" w:eastAsia="Times New Roman" w:hAnsi="Times New Roman" w:cs="Times New Roman"/>
          <w:b/>
          <w:sz w:val="28"/>
          <w:szCs w:val="28"/>
        </w:rPr>
        <w:t>All. B</w:t>
      </w:r>
    </w:p>
    <w:p w:rsidR="00000000" w:rsidRDefault="006A603D">
      <w:pPr>
        <w:pStyle w:val="PreformattatoHTML"/>
        <w:jc w:val="center"/>
      </w:pPr>
      <w:r>
        <w:rPr>
          <w:rFonts w:ascii="Times New Roman" w:hAnsi="Times New Roman" w:cs="Times New Roman"/>
          <w:b/>
          <w:sz w:val="28"/>
          <w:szCs w:val="28"/>
        </w:rPr>
        <w:t>APPENDICE NORMATIVA</w:t>
      </w:r>
    </w:p>
    <w:p w:rsidR="00000000" w:rsidRDefault="006A603D">
      <w:pPr>
        <w:pStyle w:val="PreformattatoHTML"/>
        <w:rPr>
          <w:rFonts w:ascii="Times New Roman" w:hAnsi="Times New Roman" w:cs="Times New Roman"/>
          <w:b/>
          <w:sz w:val="28"/>
          <w:szCs w:val="28"/>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b/>
        </w:rPr>
        <w:t>Decreto legislativo 18 aprile 2016, n. 50</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b/>
          <w:i/>
          <w:iCs/>
        </w:rPr>
        <w:t>Codice dei contratti pubblici</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iCs/>
        </w:rPr>
      </w:pPr>
    </w:p>
    <w:p w:rsidR="00000000" w:rsidRDefault="006A603D">
      <w:pPr>
        <w:pStyle w:val="Corpo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b/>
          <w:i/>
          <w:color w:val="000000"/>
        </w:rPr>
        <w:t>Art. 42 (Conflitto di interesse)</w:t>
      </w:r>
    </w:p>
    <w:p w:rsidR="00000000" w:rsidRDefault="006A603D">
      <w:pPr>
        <w:pStyle w:val="Corpotesto"/>
        <w:spacing w:line="288" w:lineRule="auto"/>
        <w:jc w:val="both"/>
      </w:pPr>
      <w:r>
        <w:rPr>
          <w:rFonts w:ascii="Times New Roman" w:hAnsi="Times New Roman" w:cs="Times New Roman"/>
          <w:color w:val="000000"/>
        </w:rPr>
        <w:t>1. Le stazioni appaltanti prevedono misure adeguate per contrastare le frodi e la corruzione nonché per individuare, prev</w:t>
      </w:r>
      <w:r>
        <w:rPr>
          <w:rFonts w:ascii="Times New Roman" w:hAnsi="Times New Roman" w:cs="Times New Roman"/>
          <w:color w:val="000000"/>
        </w:rPr>
        <w:t>enire e risolvere in modo efficace ogni ipotesi di conflitto di interesse nello svolgimento delle procedure di aggiudicazione degli appalti e delle concessioni, in modo da evitare qualsiasi distorsione della concorrenza e garantire la parità di trattamento</w:t>
      </w:r>
      <w:r>
        <w:rPr>
          <w:rFonts w:ascii="Times New Roman" w:hAnsi="Times New Roman" w:cs="Times New Roman"/>
          <w:color w:val="000000"/>
        </w:rPr>
        <w:t xml:space="preserve"> di tutti gli operatori economici.</w:t>
      </w:r>
    </w:p>
    <w:p w:rsidR="00000000" w:rsidRDefault="006A603D">
      <w:pPr>
        <w:pStyle w:val="Corpotesto"/>
        <w:spacing w:line="288" w:lineRule="auto"/>
        <w:jc w:val="both"/>
      </w:pPr>
      <w:r>
        <w:rPr>
          <w:rFonts w:ascii="Times New Roman" w:hAnsi="Times New Roman" w:cs="Times New Roman"/>
          <w:color w:val="000000"/>
        </w:rPr>
        <w:t>2. Si ha conflitto d’interesse quando il personale di una stazione appaltante o di un prestatore di servizi che, anche per conto della stazione appaltante, interviene nello svolgimento della procedura di aggiudicazione de</w:t>
      </w:r>
      <w:r>
        <w:rPr>
          <w:rFonts w:ascii="Times New Roman" w:hAnsi="Times New Roman" w:cs="Times New Roman"/>
          <w:color w:val="000000"/>
        </w:rPr>
        <w:t>gli appalti e delle concessioni o può influenzarne, in qualsiasi modo, il risultato, ha, direttamente o indirettamente, un interesse finanziario, economico o altro interesse personale che può essere percepito come una minaccia alla sua imparzialità e indip</w:t>
      </w:r>
      <w:r>
        <w:rPr>
          <w:rFonts w:ascii="Times New Roman" w:hAnsi="Times New Roman" w:cs="Times New Roman"/>
          <w:color w:val="000000"/>
        </w:rPr>
        <w:t>endenza nel contesto della procedura di appalto o di concessione. In particolare, costit</w:t>
      </w:r>
      <w:r>
        <w:rPr>
          <w:rFonts w:ascii="Times New Roman" w:hAnsi="Times New Roman" w:cs="Times New Roman"/>
          <w:color w:val="000000"/>
        </w:rPr>
        <w:t>uiscono situazione di conflitto di interesse quelle che determinano l'obbligo di astensione previste dall'articolo 7 del decreto del Presidente della Repubblica 16 apri</w:t>
      </w:r>
      <w:r>
        <w:rPr>
          <w:rFonts w:ascii="Times New Roman" w:hAnsi="Times New Roman" w:cs="Times New Roman"/>
          <w:color w:val="000000"/>
        </w:rPr>
        <w:t>le 2013, n. 62.</w:t>
      </w:r>
    </w:p>
    <w:p w:rsidR="00000000" w:rsidRDefault="006A603D">
      <w:pPr>
        <w:pStyle w:val="Corpotesto"/>
        <w:spacing w:line="288" w:lineRule="auto"/>
        <w:jc w:val="both"/>
      </w:pPr>
      <w:r>
        <w:rPr>
          <w:rFonts w:ascii="Times New Roman" w:hAnsi="Times New Roman" w:cs="Times New Roman"/>
          <w:color w:val="000000"/>
        </w:rPr>
        <w:t>3. Il personale che versa nelle ipotesi di cui al comma 2 è tenuto a darne comunicazione alla stazione appaltante, ad astenersi dal partecipare alla procedura di aggiudicazione degli appalti e delle concessioni. Fatte salve le ipotesi di re</w:t>
      </w:r>
      <w:r>
        <w:rPr>
          <w:rFonts w:ascii="Times New Roman" w:hAnsi="Times New Roman" w:cs="Times New Roman"/>
          <w:color w:val="000000"/>
        </w:rPr>
        <w:t>sponsabilità amministrativa e penale, la mancata astensione nei casi di cui al primo periodo costituisce comunque fonte di responsabilità disciplinare a carico del dipendente pubblico.</w:t>
      </w:r>
    </w:p>
    <w:p w:rsidR="00000000" w:rsidRDefault="006A603D">
      <w:pPr>
        <w:pStyle w:val="Corpotesto"/>
        <w:spacing w:line="288" w:lineRule="auto"/>
        <w:jc w:val="both"/>
      </w:pPr>
      <w:r>
        <w:rPr>
          <w:rFonts w:ascii="Times New Roman" w:hAnsi="Times New Roman" w:cs="Times New Roman"/>
          <w:color w:val="000000"/>
        </w:rPr>
        <w:t>4. Le disposizioni dei commi da 1, 2 e 3 valgono anche per la fase di e</w:t>
      </w:r>
      <w:r>
        <w:rPr>
          <w:rFonts w:ascii="Times New Roman" w:hAnsi="Times New Roman" w:cs="Times New Roman"/>
          <w:color w:val="000000"/>
        </w:rPr>
        <w:t>secuzione dei contratti pubblici.</w:t>
      </w:r>
    </w:p>
    <w:p w:rsidR="00000000" w:rsidRDefault="006A603D">
      <w:pPr>
        <w:pStyle w:val="Corpotesto"/>
        <w:spacing w:line="288" w:lineRule="auto"/>
        <w:jc w:val="both"/>
      </w:pPr>
      <w:r>
        <w:rPr>
          <w:rFonts w:ascii="Times New Roman" w:hAnsi="Times New Roman" w:cs="Times New Roman"/>
          <w:color w:val="000000"/>
        </w:rPr>
        <w:t>5. La stazione appaltante vigila affinché gli adempimenti di cui ai commi 3 e 4 siano rispettati.</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b/>
          <w:i/>
        </w:rPr>
        <w:t>***</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b/>
        </w:rPr>
        <w:t>Regolamento aziendale in materia di Incompatibilità, cumulo di impieghi ed incarichi e di autorizzazione allo svolgime</w:t>
      </w:r>
      <w:r>
        <w:rPr>
          <w:rFonts w:ascii="Times New Roman" w:hAnsi="Times New Roman" w:cs="Times New Roman"/>
          <w:b/>
        </w:rPr>
        <w:t>nto di incarichi extra istituzionali”.</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contextualSpacing/>
        <w:jc w:val="both"/>
      </w:pPr>
      <w:r>
        <w:rPr>
          <w:rFonts w:ascii="Times New Roman" w:eastAsia="Times New Roman" w:hAnsi="Times New Roman" w:cs="Times New Roman"/>
          <w:b/>
          <w:bCs/>
          <w:i/>
        </w:rPr>
        <w:t>DDG 497 del 22/04/2014</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b/>
          <w:i/>
        </w:rPr>
        <w:t>Art. 5 (Attività liberamente esercitabili)</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rPr>
        <w:t>Il dipendente può svolgere, senza necessità di preventiva autorizzazione o comunicazione, le seguenti attività extra istituzionali previste dalle let</w:t>
      </w:r>
      <w:r>
        <w:rPr>
          <w:rFonts w:ascii="Times New Roman" w:hAnsi="Times New Roman" w:cs="Times New Roman"/>
        </w:rPr>
        <w:t>tere da a) a f-bis) del comma 6 dell'articolo 53 del d.lgs. n. 165/2001:</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000000" w:rsidRDefault="006A603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color w:val="000000"/>
        </w:rPr>
        <w:t>collaborazione a giornali, riviste, enciclopedie e simili;</w:t>
      </w:r>
    </w:p>
    <w:p w:rsidR="00000000" w:rsidRDefault="006A603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color w:val="000000"/>
        </w:rPr>
        <w:lastRenderedPageBreak/>
        <w:t>utilizzazione economica da parte dell’autore o inventore di opere dell'ingegno e di invenzioni industriali;</w:t>
      </w:r>
    </w:p>
    <w:p w:rsidR="00000000" w:rsidRDefault="006A603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color w:val="000000"/>
        </w:rPr>
        <w:t xml:space="preserve">partecipazione </w:t>
      </w:r>
      <w:r>
        <w:rPr>
          <w:rFonts w:ascii="Times New Roman" w:hAnsi="Times New Roman" w:cs="Times New Roman"/>
          <w:color w:val="000000"/>
        </w:rPr>
        <w:t>a convegni e seminari;</w:t>
      </w:r>
    </w:p>
    <w:p w:rsidR="00000000" w:rsidRDefault="006A603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color w:val="000000"/>
        </w:rPr>
        <w:t>incarichi per i quali è corrisposto solo il rimborso delle spese documentate;</w:t>
      </w:r>
    </w:p>
    <w:p w:rsidR="00000000" w:rsidRDefault="006A603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color w:val="000000"/>
        </w:rPr>
        <w:t>incarichi per lo svolgimento dei quali il dipendente è posto in posizione di aspettativa, di comando o di fuori ruolo;</w:t>
      </w:r>
    </w:p>
    <w:p w:rsidR="00000000" w:rsidRDefault="006A603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color w:val="000000"/>
        </w:rPr>
        <w:t>incarichi conferiti dalle organizzaz</w:t>
      </w:r>
      <w:r>
        <w:rPr>
          <w:rFonts w:ascii="Times New Roman" w:hAnsi="Times New Roman" w:cs="Times New Roman"/>
          <w:color w:val="000000"/>
        </w:rPr>
        <w:t>ioni sindacali a dipendenti presso le stesse distaccati o in aspettativa non retribuita;</w:t>
      </w:r>
    </w:p>
    <w:p w:rsidR="00000000" w:rsidRDefault="006A603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hAnsi="Times New Roman" w:cs="Times New Roman"/>
          <w:color w:val="000000"/>
        </w:rPr>
        <w:t>attività di formazione diretta ai dipendenti della pubblica amministrazione nonché di docenza e di ricerca scientifica.</w:t>
      </w:r>
      <w:r>
        <w:rPr>
          <w:rFonts w:ascii="Times New Roman" w:hAnsi="Times New Roman" w:cs="Times New Roman"/>
          <w:b/>
          <w:i/>
        </w:rPr>
        <w:t xml:space="preserve"> </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b/>
          <w:i/>
        </w:rPr>
        <w:t>***</w:t>
      </w:r>
    </w:p>
    <w:p w:rsidR="00000000" w:rsidRDefault="006A603D">
      <w:pPr>
        <w:pStyle w:val="Corpo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highlight w:val="yellow"/>
        </w:rPr>
      </w:pP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1" w:name="inizio2"/>
      <w:bookmarkEnd w:id="1"/>
      <w:r>
        <w:rPr>
          <w:rFonts w:ascii="Times New Roman" w:eastAsia="Times New Roman" w:hAnsi="Times New Roman" w:cs="Times New Roman"/>
          <w:b/>
          <w:bCs/>
          <w:color w:val="000000"/>
        </w:rPr>
        <w:t xml:space="preserve">DECRETO DEL PRESIDENTE DELLA REPUBBLICA </w:t>
      </w:r>
      <w:r>
        <w:rPr>
          <w:rFonts w:ascii="Times New Roman" w:eastAsia="Times New Roman" w:hAnsi="Times New Roman" w:cs="Times New Roman"/>
          <w:b/>
          <w:bCs/>
          <w:color w:val="000000"/>
        </w:rPr>
        <w:t>16 aprile 2013, n. 62</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eastAsia="Times New Roman" w:hAnsi="Times New Roman" w:cs="Times New Roman"/>
          <w:b/>
          <w:bCs/>
          <w:i/>
          <w:iCs/>
          <w:color w:val="000000"/>
        </w:rPr>
        <w:t>Regolamento recante codice di comportamento dei dipendenti pubblici, a norma dell’articolo 54 del decreto legislativo 30 marzo 2001, n. 165</w:t>
      </w:r>
    </w:p>
    <w:p w:rsidR="00000000" w:rsidRDefault="006A603D">
      <w:pPr>
        <w:pStyle w:val="Corpo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rPr>
      </w:pPr>
    </w:p>
    <w:p w:rsidR="00000000" w:rsidRDefault="006A603D">
      <w:pPr>
        <w:pStyle w:val="Corpo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eastAsia="Times New Roman" w:hAnsi="Times New Roman" w:cs="Times New Roman"/>
          <w:b/>
          <w:bCs/>
          <w:i/>
          <w:color w:val="000000"/>
        </w:rPr>
        <w:t>Art. 6. Comunicazione degli interessi finanziari e conflitti d’interesse</w:t>
      </w:r>
    </w:p>
    <w:p w:rsidR="00000000" w:rsidRDefault="006A603D">
      <w:pPr>
        <w:pStyle w:val="Corpotesto"/>
        <w:jc w:val="both"/>
      </w:pPr>
      <w:r>
        <w:rPr>
          <w:rFonts w:ascii="Times New Roman" w:hAnsi="Times New Roman" w:cs="Times New Roman"/>
          <w:color w:val="000000"/>
        </w:rPr>
        <w:t>1. Fermi restando gl</w:t>
      </w:r>
      <w:r>
        <w:rPr>
          <w:rFonts w:ascii="Times New Roman" w:hAnsi="Times New Roman" w:cs="Times New Roman"/>
          <w:color w:val="000000"/>
        </w:rPr>
        <w:t>i obblighi di trasparenza previsti da leggi o regolamenti, il dipendente, all’atto dell’assegnazione all’ufficio, informa per iscritto il dirigente dell’ufficio di tutti i rapporti, diretti o indiretti, di collaborazione con soggetti privati in qualunque m</w:t>
      </w:r>
      <w:r>
        <w:rPr>
          <w:rFonts w:ascii="Times New Roman" w:hAnsi="Times New Roman" w:cs="Times New Roman"/>
          <w:color w:val="000000"/>
        </w:rPr>
        <w:t>odo retribuiti che lo stesso abbia o abbia avuto negli ultimi tre anni, precisando:</w:t>
      </w:r>
    </w:p>
    <w:p w:rsidR="00000000" w:rsidRDefault="006A603D">
      <w:pPr>
        <w:pStyle w:val="Quotations"/>
        <w:ind w:left="0" w:right="0"/>
        <w:jc w:val="both"/>
      </w:pPr>
      <w:r>
        <w:rPr>
          <w:rFonts w:ascii="Times New Roman" w:hAnsi="Times New Roman" w:cs="Times New Roman"/>
          <w:color w:val="000000"/>
        </w:rPr>
        <w:t>a) se in prima persona, o suoi parenti o affini entro il secondo grado, il coniuge o il convivente abbiano ancora rapporti finanziari con il soggetto con cui ha avuto i pre</w:t>
      </w:r>
      <w:r>
        <w:rPr>
          <w:rFonts w:ascii="Times New Roman" w:hAnsi="Times New Roman" w:cs="Times New Roman"/>
          <w:color w:val="000000"/>
        </w:rPr>
        <w:t>detti rapporti di collaborazione;</w:t>
      </w:r>
      <w:r>
        <w:rPr>
          <w:rFonts w:ascii="Times New Roman" w:hAnsi="Times New Roman" w:cs="Times New Roman"/>
          <w:color w:val="000000"/>
        </w:rPr>
        <w:br/>
        <w:t>b) se tali rapporti siano intercorsi o intercorrano con soggetti che abbiano interessi in attività o decisioni inerenti all’ufficio, limitatamente alle pratiche a lui affidate.</w:t>
      </w:r>
    </w:p>
    <w:p w:rsidR="00000000" w:rsidRDefault="006A603D">
      <w:pPr>
        <w:pStyle w:val="Corpotesto"/>
        <w:jc w:val="both"/>
      </w:pPr>
      <w:r>
        <w:rPr>
          <w:rFonts w:ascii="Times New Roman" w:hAnsi="Times New Roman" w:cs="Times New Roman"/>
          <w:color w:val="000000"/>
        </w:rPr>
        <w:t>2. Il dipendente si astiene dal prendere deci</w:t>
      </w:r>
      <w:r>
        <w:rPr>
          <w:rFonts w:ascii="Times New Roman" w:hAnsi="Times New Roman" w:cs="Times New Roman"/>
          <w:color w:val="000000"/>
        </w:rPr>
        <w:t>sioni o svolgere attività inerenti alle sue mansioni in situazioni di conflitto, anche potenziale, di interessi con interessi personali, del coniuge, di conviventi, di parenti, di affini entro il secondo grado. Il conflitto può riguardare interessi di qual</w:t>
      </w:r>
      <w:r>
        <w:rPr>
          <w:rFonts w:ascii="Times New Roman" w:hAnsi="Times New Roman" w:cs="Times New Roman"/>
          <w:color w:val="000000"/>
        </w:rPr>
        <w:t>siasi natura, anche non patrimoniali, come quelli derivanti dall’intento di voler assecondare pressioni politiche, sindacali o dei superiori gerarchici.</w:t>
      </w:r>
    </w:p>
    <w:p w:rsidR="00000000" w:rsidRDefault="006A603D">
      <w:pPr>
        <w:pStyle w:val="Corpotesto"/>
        <w:jc w:val="both"/>
        <w:rPr>
          <w:rFonts w:ascii="Times New Roman" w:hAnsi="Times New Roman" w:cs="Times New Roman"/>
          <w:color w:val="000000"/>
        </w:rPr>
      </w:pPr>
    </w:p>
    <w:p w:rsidR="00000000" w:rsidRDefault="006A603D">
      <w:pPr>
        <w:pStyle w:val="Corpotesto"/>
        <w:jc w:val="both"/>
      </w:pPr>
      <w:r>
        <w:rPr>
          <w:rFonts w:ascii="Times New Roman" w:hAnsi="Times New Roman" w:cs="Times New Roman"/>
          <w:b/>
          <w:i/>
          <w:iCs/>
          <w:color w:val="000000"/>
        </w:rPr>
        <w:t>Art. 7. Obbligo di astensione</w:t>
      </w:r>
    </w:p>
    <w:p w:rsidR="00000000" w:rsidRDefault="006A603D">
      <w:pPr>
        <w:pStyle w:val="Corpotesto"/>
        <w:jc w:val="both"/>
      </w:pPr>
      <w:r>
        <w:rPr>
          <w:rFonts w:ascii="Times New Roman" w:hAnsi="Times New Roman" w:cs="Times New Roman"/>
          <w:color w:val="000000"/>
        </w:rPr>
        <w:t xml:space="preserve">1. Il dipendente si astiene dal partecipare all’adozione di decisioni o </w:t>
      </w:r>
      <w:r>
        <w:rPr>
          <w:rFonts w:ascii="Times New Roman" w:hAnsi="Times New Roman" w:cs="Times New Roman"/>
          <w:color w:val="000000"/>
        </w:rPr>
        <w:t>ad attività che possano coinvolgere interessi propri, ovvero di suoi parenti, affini entro il secondo grado, del coniuge o di conviventi, oppure di persone con le quali abbia rapporti di frequentazione abituale, ovvero, di soggetti od organizzazioni con cu</w:t>
      </w:r>
      <w:r>
        <w:rPr>
          <w:rFonts w:ascii="Times New Roman" w:hAnsi="Times New Roman" w:cs="Times New Roman"/>
          <w:color w:val="000000"/>
        </w:rPr>
        <w:t>i egli o il coniuge abbia causa pendente o grave inimicizia o rapporti di credito o debito significativi, ovvero di soggetti od organizzazioni di cui sia tutore, curatore, procuratore o agente, ovvero di enti, associazioni anche non riconosciute, comitati,</w:t>
      </w:r>
      <w:r>
        <w:rPr>
          <w:rFonts w:ascii="Times New Roman" w:hAnsi="Times New Roman" w:cs="Times New Roman"/>
          <w:color w:val="000000"/>
        </w:rPr>
        <w:t xml:space="preserve"> società o stabilimenti di cui sia amministratore o gerente o dirigente. Il dipendente si astiene in ogni altro caso in cui esistano gravi ragioni di convenienza. Sull’astensione decide il responsabile dell’ufficio di appartenenza.</w:t>
      </w:r>
    </w:p>
    <w:p w:rsidR="00000000" w:rsidRDefault="006A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b/>
          <w:i/>
        </w:rPr>
        <w:lastRenderedPageBreak/>
        <w:t>***</w:t>
      </w:r>
    </w:p>
    <w:p w:rsidR="00000000" w:rsidRDefault="006A603D">
      <w:pPr>
        <w:pStyle w:val="Normale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highlight w:val="yellow"/>
        </w:rPr>
      </w:pPr>
    </w:p>
    <w:p w:rsidR="00000000" w:rsidRDefault="006A603D">
      <w:pPr>
        <w:pStyle w:val="NormaleWeb"/>
        <w:spacing w:before="0" w:after="0"/>
        <w:jc w:val="both"/>
      </w:pPr>
      <w:bookmarkStart w:id="2" w:name="inizio"/>
      <w:r>
        <w:rPr>
          <w:rFonts w:ascii="Times New Roman" w:hAnsi="Times New Roman" w:cs="Times New Roman"/>
          <w:b/>
          <w:bCs/>
        </w:rPr>
        <w:t>DECRETO LEGISLATIVO</w:t>
      </w:r>
      <w:r>
        <w:rPr>
          <w:rFonts w:ascii="Times New Roman" w:hAnsi="Times New Roman" w:cs="Times New Roman"/>
          <w:b/>
          <w:bCs/>
        </w:rPr>
        <w:t xml:space="preserve"> 30 marzo 2001, n. 165</w:t>
      </w:r>
      <w:bookmarkEnd w:id="2"/>
    </w:p>
    <w:p w:rsidR="00000000" w:rsidRDefault="006A603D">
      <w:pPr>
        <w:pStyle w:val="NormaleWeb"/>
        <w:spacing w:before="0" w:after="0"/>
        <w:jc w:val="both"/>
      </w:pPr>
      <w:r>
        <w:rPr>
          <w:rFonts w:ascii="Times New Roman" w:hAnsi="Times New Roman" w:cs="Times New Roman"/>
          <w:b/>
          <w:bCs/>
          <w:i/>
          <w:iCs/>
        </w:rPr>
        <w:t>Norme generali sull'ordinamento del lavoro alle dipendenze delle amministrazioni pubbliche</w:t>
      </w:r>
      <w:r>
        <w:rPr>
          <w:rFonts w:ascii="Times New Roman" w:hAnsi="Times New Roman" w:cs="Times New Roman"/>
          <w:b/>
          <w:bCs/>
          <w:i/>
          <w:iCs/>
          <w:highlight w:val="yellow"/>
        </w:rPr>
        <w:br/>
      </w:r>
    </w:p>
    <w:p w:rsidR="00000000" w:rsidRDefault="006A603D">
      <w:pPr>
        <w:pStyle w:val="NormaleWeb"/>
        <w:jc w:val="both"/>
      </w:pPr>
      <w:r>
        <w:rPr>
          <w:rFonts w:ascii="Times New Roman" w:hAnsi="Times New Roman" w:cs="Times New Roman"/>
          <w:b/>
          <w:bCs/>
          <w:i/>
          <w:iCs/>
        </w:rPr>
        <w:t xml:space="preserve">Art. </w:t>
      </w:r>
      <w:bookmarkStart w:id="3" w:name="35-bis"/>
      <w:r>
        <w:rPr>
          <w:rFonts w:ascii="Times New Roman" w:hAnsi="Times New Roman" w:cs="Times New Roman"/>
          <w:b/>
          <w:bCs/>
          <w:i/>
          <w:iCs/>
        </w:rPr>
        <w:t>35-bis</w:t>
      </w:r>
      <w:bookmarkEnd w:id="3"/>
      <w:r>
        <w:rPr>
          <w:rFonts w:ascii="Times New Roman" w:hAnsi="Times New Roman" w:cs="Times New Roman"/>
          <w:b/>
          <w:bCs/>
          <w:i/>
          <w:iCs/>
        </w:rPr>
        <w:t xml:space="preserve">. Prevenzione del fenomeno della corruzione nella formazione di commissioni e nelle assegnazioni agli uffici (articolo introdotto </w:t>
      </w:r>
      <w:r>
        <w:rPr>
          <w:rFonts w:ascii="Times New Roman" w:hAnsi="Times New Roman" w:cs="Times New Roman"/>
          <w:b/>
          <w:bCs/>
          <w:i/>
          <w:iCs/>
        </w:rPr>
        <w:t xml:space="preserve">dall'art. 1, comma 46, legge n. 190 del 2012) </w:t>
      </w:r>
    </w:p>
    <w:p w:rsidR="00000000" w:rsidRDefault="006A603D">
      <w:pPr>
        <w:pStyle w:val="NormaleWeb"/>
        <w:jc w:val="both"/>
      </w:pPr>
      <w:r>
        <w:rPr>
          <w:rFonts w:ascii="Times New Roman" w:hAnsi="Times New Roman" w:cs="Times New Roman"/>
        </w:rPr>
        <w:t>1. Coloro che sono stati condannati, anche con sentenza non passata in giudicato, per i reati previsti nel capo I del titolo II del libro secondo del codice penale:</w:t>
      </w:r>
    </w:p>
    <w:p w:rsidR="00000000" w:rsidRDefault="006A603D">
      <w:pPr>
        <w:pStyle w:val="NormaleWeb"/>
        <w:jc w:val="both"/>
      </w:pPr>
      <w:r>
        <w:rPr>
          <w:rFonts w:ascii="Times New Roman" w:hAnsi="Times New Roman" w:cs="Times New Roman"/>
        </w:rPr>
        <w:t>a) non possono fare parte, anche con compiti</w:t>
      </w:r>
      <w:r>
        <w:rPr>
          <w:rFonts w:ascii="Times New Roman" w:hAnsi="Times New Roman" w:cs="Times New Roman"/>
        </w:rPr>
        <w:t xml:space="preserve"> di segreteria, di commissioni per l’accesso o la selezione a pubblici impieghi;</w:t>
      </w:r>
    </w:p>
    <w:p w:rsidR="00000000" w:rsidRDefault="006A603D">
      <w:pPr>
        <w:pStyle w:val="NormaleWeb"/>
        <w:jc w:val="both"/>
      </w:pPr>
      <w:r>
        <w:rPr>
          <w:rFonts w:ascii="Times New Roman" w:hAnsi="Times New Roman" w:cs="Times New Roman"/>
        </w:rPr>
        <w:t>b) non possono essere assegnati, anche con funzioni direttive, agli uffici preposti alla gestione delle risorse finanziarie, all’acquisizione di beni, servizi e forniture, non</w:t>
      </w:r>
      <w:r>
        <w:rPr>
          <w:rFonts w:ascii="Times New Roman" w:hAnsi="Times New Roman" w:cs="Times New Roman"/>
        </w:rPr>
        <w:t>ché alla concessione o all’erogazione di sovvenzioni, contributi, sussidi, ausili finanziari o attribuzioni di vantaggi economici a soggetti pubblici e privati;</w:t>
      </w:r>
    </w:p>
    <w:p w:rsidR="00000000" w:rsidRDefault="006A603D">
      <w:pPr>
        <w:pStyle w:val="NormaleWeb"/>
        <w:jc w:val="both"/>
      </w:pPr>
      <w:r>
        <w:rPr>
          <w:rFonts w:ascii="Times New Roman" w:hAnsi="Times New Roman" w:cs="Times New Roman"/>
        </w:rPr>
        <w:t>c) non possono fare parte delle commissioni per la scelta del contraente per l’affidamento di l</w:t>
      </w:r>
      <w:r>
        <w:rPr>
          <w:rFonts w:ascii="Times New Roman" w:hAnsi="Times New Roman" w:cs="Times New Roman"/>
        </w:rPr>
        <w:t>avori, forniture e servizi, per la concessione o l’erogazione di sovvenzioni, contributi, sussidi, ausili finanziari, nonché per l’attribuzione di vantaggi economici di qualunque genere.</w:t>
      </w:r>
    </w:p>
    <w:p w:rsidR="00000000" w:rsidRDefault="006A603D">
      <w:pPr>
        <w:pStyle w:val="NormaleWeb"/>
        <w:jc w:val="both"/>
      </w:pPr>
      <w:r>
        <w:rPr>
          <w:rFonts w:ascii="Times New Roman" w:hAnsi="Times New Roman" w:cs="Times New Roman"/>
        </w:rPr>
        <w:t>2. La disposizione prevista al comma 1 integra le leggi e regolamenti</w:t>
      </w:r>
      <w:r>
        <w:rPr>
          <w:rFonts w:ascii="Times New Roman" w:hAnsi="Times New Roman" w:cs="Times New Roman"/>
        </w:rPr>
        <w:t xml:space="preserve"> che disciplinano la formazione di commissioni e la nomina dei relativi segretari.</w:t>
      </w:r>
    </w:p>
    <w:p w:rsidR="00000000" w:rsidRDefault="006A603D">
      <w:pPr>
        <w:spacing w:before="100" w:after="100"/>
        <w:jc w:val="both"/>
        <w:rPr>
          <w:rFonts w:ascii="Times New Roman" w:eastAsia="Times New Roman" w:hAnsi="Times New Roman" w:cs="Times New Roman"/>
        </w:rPr>
      </w:pPr>
    </w:p>
    <w:p w:rsidR="00000000" w:rsidRDefault="006A603D">
      <w:pPr>
        <w:pStyle w:val="NormaleWeb"/>
        <w:jc w:val="both"/>
      </w:pPr>
      <w:r>
        <w:rPr>
          <w:rFonts w:ascii="Times New Roman" w:hAnsi="Times New Roman" w:cs="Times New Roman"/>
          <w:b/>
          <w:bCs/>
          <w:i/>
          <w:iCs/>
        </w:rPr>
        <w:t>Art. 53 Incompatibilità, cumulo di impieghi e incarichi</w:t>
      </w:r>
    </w:p>
    <w:p w:rsidR="00000000" w:rsidRDefault="006A603D">
      <w:pPr>
        <w:pStyle w:val="NormaleWeb"/>
        <w:jc w:val="both"/>
      </w:pPr>
      <w:r>
        <w:rPr>
          <w:rFonts w:ascii="Times New Roman" w:hAnsi="Times New Roman" w:cs="Times New Roman"/>
          <w:b/>
          <w:bCs/>
          <w:i/>
          <w:iCs/>
          <w:color w:val="000000"/>
        </w:rPr>
        <w:t>comma 16-ter</w:t>
      </w:r>
      <w:r>
        <w:rPr>
          <w:rFonts w:ascii="Times New Roman" w:hAnsi="Times New Roman" w:cs="Times New Roman"/>
          <w:bCs/>
          <w:color w:val="000000"/>
        </w:rPr>
        <w:t xml:space="preserve">: I dipendenti che, negli ultimi tre anni di servizio, hanno esercitato poteri autoritativi o negoziali </w:t>
      </w:r>
      <w:r>
        <w:rPr>
          <w:rFonts w:ascii="Times New Roman" w:hAnsi="Times New Roman" w:cs="Times New Roman"/>
          <w:bCs/>
          <w:color w:val="000000"/>
        </w:rPr>
        <w:t>per conto delle pubbliche amministrazioni di cui all’articolo 1, comma 2, non possono svolgere, nei tre anni successivi alla cessazione del rapporto di pubblico impiego, attività lavorativa o professionale presso i soggetti privati destinatari dell’attivit</w:t>
      </w:r>
      <w:r>
        <w:rPr>
          <w:rFonts w:ascii="Times New Roman" w:hAnsi="Times New Roman" w:cs="Times New Roman"/>
          <w:bCs/>
          <w:color w:val="000000"/>
        </w:rPr>
        <w:t xml:space="preserve">à della pubblica amministrazione svolta attraverso i medesimi poteri. I contratti conclusi e gli incarichi conferiti in violazione di quanto previsto dal presente comma sono nulli ed è fatto divieto ai soggetti privati che li hanno conclusi o conferiti di </w:t>
      </w:r>
      <w:r>
        <w:rPr>
          <w:rFonts w:ascii="Times New Roman" w:hAnsi="Times New Roman" w:cs="Times New Roman"/>
          <w:bCs/>
          <w:color w:val="000000"/>
        </w:rPr>
        <w:t>contrattare con le pubbliche amministrazioni per i successivi tre anni con obbligo di restituzione dei compensi eventualmente percepiti e accertati ad essi riferiti.</w:t>
      </w:r>
      <w:r>
        <w:rPr>
          <w:rFonts w:ascii="Times New Roman" w:hAnsi="Times New Roman" w:cs="Times New Roman"/>
          <w:b/>
          <w:bCs/>
        </w:rPr>
        <w:t xml:space="preserve"> </w:t>
      </w:r>
    </w:p>
    <w:p w:rsidR="00000000" w:rsidRDefault="006A603D">
      <w:pPr>
        <w:spacing w:before="100" w:after="100"/>
        <w:jc w:val="both"/>
        <w:rPr>
          <w:rFonts w:ascii="Times New Roman" w:eastAsia="Times New Roman" w:hAnsi="Times New Roman" w:cs="Times New Roman"/>
        </w:rPr>
      </w:pPr>
    </w:p>
    <w:p w:rsidR="00000000" w:rsidRDefault="006A603D">
      <w:pPr>
        <w:spacing w:before="100" w:after="100"/>
        <w:jc w:val="both"/>
        <w:rPr>
          <w:rFonts w:ascii="Times New Roman" w:eastAsia="Times New Roman" w:hAnsi="Times New Roman" w:cs="Times New Roman"/>
          <w:sz w:val="22"/>
          <w:szCs w:val="22"/>
        </w:rPr>
      </w:pPr>
    </w:p>
    <w:p w:rsidR="00000000" w:rsidRDefault="006A603D">
      <w:pPr>
        <w:spacing w:before="100" w:after="100"/>
        <w:jc w:val="both"/>
        <w:rPr>
          <w:rFonts w:ascii="Times New Roman" w:eastAsia="Times New Roman" w:hAnsi="Times New Roman" w:cs="Times New Roman"/>
          <w:sz w:val="22"/>
          <w:szCs w:val="22"/>
        </w:rPr>
      </w:pPr>
    </w:p>
    <w:p w:rsidR="00000000" w:rsidRDefault="006A603D">
      <w:pPr>
        <w:spacing w:before="100" w:after="100"/>
        <w:jc w:val="both"/>
        <w:rPr>
          <w:rFonts w:ascii="Times New Roman" w:eastAsia="Times New Roman" w:hAnsi="Times New Roman" w:cs="Times New Roman"/>
          <w:sz w:val="22"/>
          <w:szCs w:val="22"/>
        </w:rPr>
      </w:pPr>
    </w:p>
    <w:p w:rsidR="00000000" w:rsidRDefault="006A603D">
      <w:pPr>
        <w:spacing w:before="100" w:after="100"/>
        <w:jc w:val="both"/>
        <w:rPr>
          <w:rFonts w:ascii="Times New Roman" w:eastAsia="Times New Roman" w:hAnsi="Times New Roman" w:cs="Times New Roman"/>
          <w:sz w:val="22"/>
          <w:szCs w:val="22"/>
        </w:rPr>
      </w:pPr>
    </w:p>
    <w:p w:rsidR="00000000" w:rsidRDefault="006A603D">
      <w:pPr>
        <w:spacing w:before="100" w:after="100"/>
        <w:jc w:val="both"/>
        <w:rPr>
          <w:rFonts w:ascii="Times New Roman" w:eastAsia="Times New Roman" w:hAnsi="Times New Roman" w:cs="Times New Roman"/>
          <w:sz w:val="22"/>
          <w:szCs w:val="22"/>
        </w:rPr>
      </w:pPr>
    </w:p>
    <w:p w:rsidR="00000000" w:rsidRDefault="006A603D">
      <w:pPr>
        <w:spacing w:before="100" w:after="100"/>
        <w:jc w:val="both"/>
      </w:pPr>
    </w:p>
    <w:sectPr w:rsidR="00000000">
      <w:footerReference w:type="default" r:id="rId7"/>
      <w:footerReference w:type="first" r:id="rId8"/>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A603D">
      <w:r>
        <w:separator/>
      </w:r>
    </w:p>
  </w:endnote>
  <w:endnote w:type="continuationSeparator" w:id="0">
    <w:p w:rsidR="00000000" w:rsidRDefault="006A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603D">
    <w:pPr>
      <w:pStyle w:val="Pidipagina"/>
      <w:ind w:right="360"/>
    </w:pPr>
    <w:r>
      <w:rPr>
        <w:noProof/>
        <w:lang w:eastAsia="it-IT" w:bidi="ar-SA"/>
      </w:rPr>
      <mc:AlternateContent>
        <mc:Choice Requires="wps">
          <w:drawing>
            <wp:anchor distT="0" distB="0" distL="0" distR="0" simplePos="0" relativeHeight="251657728" behindDoc="0" locked="0" layoutInCell="1" allowOverlap="1">
              <wp:simplePos x="0" y="0"/>
              <wp:positionH relativeFrom="page">
                <wp:posOffset>6763385</wp:posOffset>
              </wp:positionH>
              <wp:positionV relativeFrom="paragraph">
                <wp:posOffset>635</wp:posOffset>
              </wp:positionV>
              <wp:extent cx="70485" cy="168910"/>
              <wp:effectExtent l="635" t="635" r="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603D">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55pt;margin-top:.05pt;width:5.55pt;height:13.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" stroked="f">
              <v:textbox inset=".1pt,.1pt,.1pt,.1pt">
                <w:txbxContent>
                  <w:p w:rsidR="00000000" w:rsidRDefault="006A603D">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60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A603D">
      <w:r>
        <w:separator/>
      </w:r>
    </w:p>
  </w:footnote>
  <w:footnote w:type="continuationSeparator" w:id="0">
    <w:p w:rsidR="00000000" w:rsidRDefault="006A6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4"/>
    <w:lvl w:ilvl="0">
      <w:start w:val="1"/>
      <w:numFmt w:val="decimal"/>
      <w:lvlText w:val="%1."/>
      <w:lvlJc w:val="left"/>
      <w:pPr>
        <w:tabs>
          <w:tab w:val="num" w:pos="720"/>
        </w:tabs>
        <w:ind w:left="720" w:hanging="360"/>
      </w:pPr>
      <w:rPr>
        <w:rFonts w:ascii="Times New Roman" w:hAnsi="Times New Roman" w:cs="Garamond"/>
        <w:b/>
        <w:i/>
        <w:sz w:val="24"/>
        <w:szCs w:val="24"/>
      </w:r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3D"/>
    <w:rsid w:val="006A6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0F0C0E1E-8507-42C4-A4B7-0074877C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Liberation Serif" w:eastAsia="NSimSun" w:hAnsi="Liberation Serif"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Numeropagina">
    <w:name w:val="page number"/>
    <w:basedOn w:val="Carpredefinitoparagrafo1"/>
  </w:style>
  <w:style w:type="character" w:customStyle="1" w:styleId="WW8Num4z0">
    <w:name w:val="WW8Num4z0"/>
    <w:rPr>
      <w:rFonts w:ascii="Times New Roman" w:hAnsi="Times New Roman" w:cs="Garamond"/>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dipagina">
    <w:name w:val="footer"/>
    <w:basedOn w:val="Normale"/>
    <w:pPr>
      <w:tabs>
        <w:tab w:val="center" w:pos="4819"/>
        <w:tab w:val="right" w:pos="9638"/>
      </w:tabs>
    </w:pPr>
  </w:style>
  <w:style w:type="paragraph" w:customStyle="1" w:styleId="Quotations">
    <w:name w:val="Quotations"/>
    <w:basedOn w:val="Normale"/>
    <w:pPr>
      <w:spacing w:after="283"/>
      <w:ind w:left="567" w:right="567"/>
    </w:pPr>
  </w:style>
  <w:style w:type="paragraph" w:styleId="NormaleWeb">
    <w:name w:val="Normal (Web)"/>
    <w:basedOn w:val="Normale"/>
    <w:pPr>
      <w:spacing w:before="100" w:after="1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ASL della Valle d'Aosta</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 SARA</dc:creator>
  <cp:keywords/>
  <cp:lastModifiedBy>MASSA SARA</cp:lastModifiedBy>
  <cp:revision>2</cp:revision>
  <cp:lastPrinted>1995-11-21T16:41:00Z</cp:lastPrinted>
  <dcterms:created xsi:type="dcterms:W3CDTF">2021-01-20T11:06:00Z</dcterms:created>
  <dcterms:modified xsi:type="dcterms:W3CDTF">2021-01-20T11:06:00Z</dcterms:modified>
</cp:coreProperties>
</file>